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8A5085" w:rsidRPr="00436768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8A5085" w:rsidRPr="009D3357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7523DB" w:rsidRPr="00A25470" w:rsidTr="007523DB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523DB" w:rsidRPr="00A25470" w:rsidRDefault="007523DB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DB" w:rsidRPr="00E87654" w:rsidRDefault="007523DB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876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Obec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Hencovce</w:t>
            </w:r>
            <w:r w:rsidRPr="00E8765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BD69D6">
              <w:rPr>
                <w:rFonts w:ascii="Calibri" w:hAnsi="Calibri" w:cs="Calibri"/>
                <w:sz w:val="20"/>
                <w:szCs w:val="20"/>
              </w:rPr>
              <w:t>Sládkovičova 1995, 093 02 Hencovce</w:t>
            </w:r>
          </w:p>
        </w:tc>
      </w:tr>
      <w:tr w:rsidR="007523DB" w:rsidRPr="00A25470" w:rsidTr="007523DB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7523DB" w:rsidRPr="00A25470" w:rsidRDefault="007523DB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DB" w:rsidRPr="00E87654" w:rsidRDefault="007523DB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0451">
              <w:rPr>
                <w:rFonts w:ascii="Calibri" w:hAnsi="Calibri" w:cs="Calibri"/>
                <w:b/>
                <w:sz w:val="22"/>
                <w:szCs w:val="22"/>
              </w:rPr>
              <w:t>Zníženie energetickej náročnosti budovy obecného úradu v obci He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ncovce</w:t>
            </w:r>
          </w:p>
        </w:tc>
      </w:tr>
    </w:tbl>
    <w:p w:rsidR="00AF4D69" w:rsidRDefault="00AF4D69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7523DB" w:rsidRDefault="007523DB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Pr="00436768" w:rsidRDefault="008A5085" w:rsidP="008A5085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8A5085" w:rsidRDefault="008A5085" w:rsidP="008A5085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údaje, ktoré budú zverejnené na otváraní  ponúk v súlade so zákonom č. 343/2015  Z. z. o verejnom </w:t>
      </w:r>
      <w:bookmarkStart w:id="0" w:name="_GoBack"/>
      <w:bookmarkEnd w:id="0"/>
      <w:r>
        <w:rPr>
          <w:rFonts w:ascii="Calibri Light" w:hAnsi="Calibri Light" w:cs="Calibri Light"/>
          <w:color w:val="000000"/>
          <w:sz w:val="20"/>
          <w:szCs w:val="20"/>
        </w:rPr>
        <w:t xml:space="preserve">obstarávaní a o zmene a doplnení niektorých zákonov v znení neskorších predpisov </w:t>
      </w: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3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554"/>
      </w:tblGrid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8A5085" w:rsidRPr="009D3357" w:rsidTr="00A71CCE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Navrhovaná zmluvná cena bez DPH</w:t>
            </w:r>
            <w:r w:rsidR="00ED7BC2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(%)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Navrhovaná zmluvná cena celkom s DPH </w:t>
            </w:r>
          </w:p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(„ navrhovaná zmluvná cena“)</w:t>
            </w:r>
            <w:r w:rsidR="00ED7BC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034247" w:rsidRDefault="008A5085" w:rsidP="008A5085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8A5085" w:rsidRPr="009D3357" w:rsidTr="00A71CCE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Celková navrhovaná zmluvná cena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(„ navrhovaná zmluvná cena“)</w:t>
            </w:r>
            <w:r w:rsidR="00ED7BC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8A5085" w:rsidRPr="009D3357" w:rsidRDefault="008A5085" w:rsidP="00A71CCE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Default="008A5085" w:rsidP="00C03A3D">
      <w:pPr>
        <w:suppressAutoHyphens w:val="0"/>
        <w:spacing w:line="245" w:lineRule="exact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AF8" w:rsidRDefault="00EB2AF8" w:rsidP="008A5085">
      <w:r>
        <w:separator/>
      </w:r>
    </w:p>
  </w:endnote>
  <w:endnote w:type="continuationSeparator" w:id="0">
    <w:p w:rsidR="00EB2AF8" w:rsidRDefault="00EB2AF8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3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EB2A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AF8" w:rsidRDefault="00EB2AF8" w:rsidP="008A5085">
      <w:r>
        <w:separator/>
      </w:r>
    </w:p>
  </w:footnote>
  <w:footnote w:type="continuationSeparator" w:id="0">
    <w:p w:rsidR="00EB2AF8" w:rsidRDefault="00EB2AF8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EB2AF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66700"/>
    <w:rsid w:val="005B6E50"/>
    <w:rsid w:val="007523DB"/>
    <w:rsid w:val="0088492B"/>
    <w:rsid w:val="008A5085"/>
    <w:rsid w:val="008A6F8E"/>
    <w:rsid w:val="00AF4D69"/>
    <w:rsid w:val="00B46FA4"/>
    <w:rsid w:val="00C03A3D"/>
    <w:rsid w:val="00C47BBC"/>
    <w:rsid w:val="00D506BC"/>
    <w:rsid w:val="00EB2AF8"/>
    <w:rsid w:val="00ED7BC2"/>
    <w:rsid w:val="00ED7C23"/>
    <w:rsid w:val="00F02942"/>
    <w:rsid w:val="00F7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F57E8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2020-07-01T18:24:00Z</dcterms:created>
  <dcterms:modified xsi:type="dcterms:W3CDTF">2022-03-23T16:43:00Z</dcterms:modified>
</cp:coreProperties>
</file>